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55" w:rsidRDefault="00460655" w:rsidP="00460655">
      <w:pPr>
        <w:shd w:val="clear" w:color="auto" w:fill="FFFFFF"/>
        <w:spacing w:before="240" w:after="180" w:line="240" w:lineRule="auto"/>
        <w:jc w:val="center"/>
        <w:textAlignment w:val="baseline"/>
        <w:outlineLvl w:val="2"/>
        <w:rPr>
          <w:rFonts w:ascii="Helvetica" w:eastAsia="Times New Roman" w:hAnsi="Helvetica" w:cs="Times New Roman"/>
          <w:b/>
          <w:color w:val="412878"/>
          <w:sz w:val="36"/>
          <w:szCs w:val="36"/>
          <w:u w:val="single"/>
          <w:lang w:eastAsia="en-GB"/>
        </w:rPr>
      </w:pPr>
      <w:r>
        <w:rPr>
          <w:rFonts w:ascii="Helvetica" w:eastAsia="Times New Roman" w:hAnsi="Helvetica" w:cs="Times New Roman"/>
          <w:b/>
          <w:color w:val="412878"/>
          <w:sz w:val="36"/>
          <w:szCs w:val="36"/>
          <w:u w:val="single"/>
          <w:lang w:eastAsia="en-GB"/>
        </w:rPr>
        <w:t>A Level Art (Art Craft &amp; Design</w:t>
      </w:r>
      <w:proofErr w:type="gramStart"/>
      <w:r>
        <w:rPr>
          <w:rFonts w:ascii="Helvetica" w:eastAsia="Times New Roman" w:hAnsi="Helvetica" w:cs="Times New Roman"/>
          <w:b/>
          <w:color w:val="412878"/>
          <w:sz w:val="36"/>
          <w:szCs w:val="36"/>
          <w:u w:val="single"/>
          <w:lang w:eastAsia="en-GB"/>
        </w:rPr>
        <w:t>)-</w:t>
      </w:r>
      <w:proofErr w:type="gramEnd"/>
      <w:r w:rsidRPr="004B63A8">
        <w:rPr>
          <w:rFonts w:ascii="Helvetica" w:eastAsia="Times New Roman" w:hAnsi="Helvetica" w:cs="Times New Roman"/>
          <w:b/>
          <w:color w:val="412878"/>
          <w:sz w:val="36"/>
          <w:szCs w:val="36"/>
          <w:u w:val="single"/>
          <w:lang w:eastAsia="en-GB"/>
        </w:rPr>
        <w:t xml:space="preserve"> OVERVIEW</w:t>
      </w:r>
    </w:p>
    <w:p w:rsidR="00460655" w:rsidRPr="00417DE1" w:rsidRDefault="00460655" w:rsidP="00460655">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Pr>
          <w:rFonts w:ascii="Helvetica" w:eastAsia="Times New Roman" w:hAnsi="Helvetica" w:cs="Times New Roman"/>
          <w:color w:val="412878"/>
          <w:sz w:val="36"/>
          <w:szCs w:val="36"/>
          <w:u w:val="single"/>
          <w:lang w:eastAsia="en-GB"/>
        </w:rPr>
        <w:t xml:space="preserve">Workshops and preparation portfolio- </w:t>
      </w:r>
      <w:r w:rsidRPr="00417DE1">
        <w:rPr>
          <w:rFonts w:ascii="Helvetica" w:eastAsia="Times New Roman" w:hAnsi="Helvetica" w:cs="Times New Roman"/>
          <w:color w:val="412878"/>
          <w:sz w:val="36"/>
          <w:szCs w:val="36"/>
          <w:lang w:eastAsia="en-GB"/>
        </w:rPr>
        <w:t>internal/school task rather than exam board.</w:t>
      </w:r>
    </w:p>
    <w:p w:rsidR="00460655" w:rsidRDefault="00126B02" w:rsidP="00460655">
      <w:pPr>
        <w:shd w:val="clear" w:color="auto" w:fill="FFFFFF"/>
        <w:spacing w:before="240" w:after="180" w:line="240" w:lineRule="auto"/>
        <w:textAlignment w:val="baseline"/>
        <w:outlineLvl w:val="2"/>
        <w:rPr>
          <w:rFonts w:ascii="Helvetica" w:eastAsia="Times New Roman" w:hAnsi="Helvetica" w:cs="Times New Roman"/>
          <w:color w:val="412878"/>
          <w:sz w:val="36"/>
          <w:szCs w:val="36"/>
          <w:u w:val="single"/>
          <w:lang w:eastAsia="en-GB"/>
        </w:rPr>
      </w:pPr>
      <w:r>
        <w:rPr>
          <w:rFonts w:ascii="Helvetica" w:eastAsia="Times New Roman" w:hAnsi="Helvetica" w:cs="Times New Roman"/>
          <w:color w:val="412878"/>
          <w:sz w:val="36"/>
          <w:szCs w:val="36"/>
          <w:u w:val="single"/>
          <w:lang w:eastAsia="en-GB"/>
        </w:rPr>
        <w:t>Personal Investigation</w:t>
      </w:r>
      <w:r w:rsidR="00460655">
        <w:rPr>
          <w:rFonts w:ascii="Helvetica" w:eastAsia="Times New Roman" w:hAnsi="Helvetica" w:cs="Times New Roman"/>
          <w:color w:val="412878"/>
          <w:sz w:val="36"/>
          <w:szCs w:val="36"/>
          <w:u w:val="single"/>
          <w:lang w:eastAsia="en-GB"/>
        </w:rPr>
        <w:t xml:space="preserve">- Component 1- </w:t>
      </w:r>
      <w:r w:rsidR="00460655" w:rsidRPr="00417DE1">
        <w:rPr>
          <w:rFonts w:ascii="Helvetica" w:eastAsia="Times New Roman" w:hAnsi="Helvetica" w:cs="Times New Roman"/>
          <w:color w:val="412878"/>
          <w:sz w:val="36"/>
          <w:szCs w:val="36"/>
          <w:lang w:eastAsia="en-GB"/>
        </w:rPr>
        <w:t>60% of overall grade</w:t>
      </w:r>
      <w:r w:rsidR="00460655">
        <w:rPr>
          <w:rFonts w:ascii="Helvetica" w:eastAsia="Times New Roman" w:hAnsi="Helvetica" w:cs="Times New Roman"/>
          <w:color w:val="412878"/>
          <w:sz w:val="36"/>
          <w:szCs w:val="36"/>
          <w:lang w:eastAsia="en-GB"/>
        </w:rPr>
        <w:t xml:space="preserve"> (portfolio)</w:t>
      </w:r>
    </w:p>
    <w:p w:rsidR="00460655" w:rsidRDefault="00460655" w:rsidP="00460655">
      <w:pPr>
        <w:shd w:val="clear" w:color="auto" w:fill="FFFFFF"/>
        <w:spacing w:before="240" w:after="180" w:line="240" w:lineRule="auto"/>
        <w:textAlignment w:val="baseline"/>
        <w:outlineLvl w:val="2"/>
        <w:rPr>
          <w:rFonts w:ascii="Helvetica" w:eastAsia="Times New Roman" w:hAnsi="Helvetica" w:cs="Times New Roman"/>
          <w:color w:val="412878"/>
          <w:sz w:val="36"/>
          <w:szCs w:val="36"/>
          <w:u w:val="single"/>
          <w:lang w:eastAsia="en-GB"/>
        </w:rPr>
      </w:pPr>
      <w:r>
        <w:rPr>
          <w:rFonts w:ascii="Helvetica" w:eastAsia="Times New Roman" w:hAnsi="Helvetica" w:cs="Times New Roman"/>
          <w:color w:val="412878"/>
          <w:sz w:val="36"/>
          <w:szCs w:val="36"/>
          <w:u w:val="single"/>
          <w:lang w:eastAsia="en-GB"/>
        </w:rPr>
        <w:t xml:space="preserve">Externally set assignment- </w:t>
      </w:r>
      <w:r w:rsidRPr="00417DE1">
        <w:rPr>
          <w:rFonts w:ascii="Helvetica" w:eastAsia="Times New Roman" w:hAnsi="Helvetica" w:cs="Times New Roman"/>
          <w:color w:val="412878"/>
          <w:sz w:val="36"/>
          <w:szCs w:val="36"/>
          <w:lang w:eastAsia="en-GB"/>
        </w:rPr>
        <w:t>40% of overall grade</w:t>
      </w:r>
      <w:r>
        <w:rPr>
          <w:rFonts w:ascii="Helvetica" w:eastAsia="Times New Roman" w:hAnsi="Helvetica" w:cs="Times New Roman"/>
          <w:color w:val="412878"/>
          <w:sz w:val="36"/>
          <w:szCs w:val="36"/>
          <w:lang w:eastAsia="en-GB"/>
        </w:rPr>
        <w:t xml:space="preserve"> (prep work + 10 hours exam conditions final piece).</w:t>
      </w:r>
    </w:p>
    <w:p w:rsidR="003354D3" w:rsidRDefault="003354D3" w:rsidP="00460655">
      <w:pPr>
        <w:shd w:val="clear" w:color="auto" w:fill="FFFFFF"/>
        <w:spacing w:before="240" w:after="180" w:line="240" w:lineRule="auto"/>
        <w:textAlignment w:val="baseline"/>
        <w:outlineLvl w:val="2"/>
        <w:rPr>
          <w:rFonts w:ascii="Helvetica" w:eastAsia="Times New Roman" w:hAnsi="Helvetica" w:cs="Times New Roman"/>
          <w:color w:val="412878"/>
          <w:sz w:val="36"/>
          <w:szCs w:val="36"/>
          <w:u w:val="single"/>
          <w:lang w:eastAsia="en-GB"/>
        </w:rPr>
      </w:pPr>
    </w:p>
    <w:p w:rsidR="00460655" w:rsidRPr="003354D3" w:rsidRDefault="00460655" w:rsidP="003354D3">
      <w:pPr>
        <w:shd w:val="clear" w:color="auto" w:fill="FFFFFF"/>
        <w:spacing w:before="240" w:after="180" w:line="240" w:lineRule="auto"/>
        <w:textAlignment w:val="baseline"/>
        <w:outlineLvl w:val="2"/>
        <w:rPr>
          <w:rFonts w:ascii="Helvetica" w:eastAsia="Times New Roman" w:hAnsi="Helvetica" w:cs="Times New Roman"/>
          <w:b/>
          <w:color w:val="412878"/>
          <w:sz w:val="36"/>
          <w:szCs w:val="36"/>
          <w:u w:val="single"/>
          <w:lang w:eastAsia="en-GB"/>
        </w:rPr>
      </w:pPr>
      <w:r w:rsidRPr="00417DE1">
        <w:rPr>
          <w:rFonts w:ascii="Helvetica" w:eastAsia="Times New Roman" w:hAnsi="Helvetica" w:cs="Times New Roman"/>
          <w:color w:val="412878"/>
          <w:sz w:val="36"/>
          <w:szCs w:val="36"/>
          <w:u w:val="single"/>
          <w:lang w:eastAsia="en-GB"/>
        </w:rPr>
        <w:t>Component details</w:t>
      </w:r>
    </w:p>
    <w:p w:rsidR="00460655" w:rsidRDefault="00460655" w:rsidP="00460655">
      <w:pPr>
        <w:shd w:val="clear" w:color="auto" w:fill="FFFFFF"/>
        <w:spacing w:before="240" w:after="180" w:line="240" w:lineRule="auto"/>
        <w:textAlignment w:val="baseline"/>
        <w:outlineLvl w:val="3"/>
        <w:rPr>
          <w:rFonts w:ascii="Helvetica" w:eastAsia="Times New Roman" w:hAnsi="Helvetica" w:cs="Times New Roman"/>
          <w:i/>
          <w:color w:val="412878"/>
          <w:sz w:val="29"/>
          <w:szCs w:val="29"/>
          <w:u w:val="single"/>
          <w:lang w:eastAsia="en-GB"/>
        </w:rPr>
      </w:pPr>
      <w:r w:rsidRPr="00FD27E8">
        <w:rPr>
          <w:rFonts w:ascii="Helvetica" w:eastAsia="Times New Roman" w:hAnsi="Helvetica" w:cs="Times New Roman"/>
          <w:i/>
          <w:color w:val="412878"/>
          <w:sz w:val="29"/>
          <w:szCs w:val="29"/>
          <w:u w:val="single"/>
          <w:lang w:eastAsia="en-GB"/>
        </w:rPr>
        <w:t>Component 1</w:t>
      </w:r>
      <w:r>
        <w:rPr>
          <w:rFonts w:ascii="Helvetica" w:eastAsia="Times New Roman" w:hAnsi="Helvetica" w:cs="Times New Roman"/>
          <w:i/>
          <w:color w:val="412878"/>
          <w:sz w:val="29"/>
          <w:szCs w:val="29"/>
          <w:u w:val="single"/>
          <w:lang w:eastAsia="en-GB"/>
        </w:rPr>
        <w:t>-</w:t>
      </w:r>
      <w:r w:rsidR="00126B02">
        <w:rPr>
          <w:rFonts w:ascii="Helvetica" w:eastAsia="Times New Roman" w:hAnsi="Helvetica" w:cs="Times New Roman"/>
          <w:i/>
          <w:color w:val="412878"/>
          <w:sz w:val="29"/>
          <w:szCs w:val="29"/>
          <w:u w:val="single"/>
          <w:lang w:eastAsia="en-GB"/>
        </w:rPr>
        <w:t xml:space="preserve"> Personal investigation</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rPr>
      </w:pPr>
      <w:r w:rsidRPr="000C7953">
        <w:rPr>
          <w:rFonts w:ascii="Helvetica" w:hAnsi="Helvetica" w:cs="Helvetica"/>
          <w:sz w:val="20"/>
          <w:szCs w:val="20"/>
        </w:rPr>
        <w:t xml:space="preserve">This is a </w:t>
      </w:r>
      <w:r w:rsidRPr="000C7953">
        <w:rPr>
          <w:rFonts w:ascii="Helvetica" w:hAnsi="Helvetica" w:cs="Helvetica"/>
          <w:b/>
          <w:sz w:val="20"/>
          <w:szCs w:val="20"/>
        </w:rPr>
        <w:t>practical investigation supported by written material</w:t>
      </w:r>
      <w:r w:rsidRPr="000C7953">
        <w:rPr>
          <w:rFonts w:ascii="Helvetica" w:hAnsi="Helvetica" w:cs="Helvetica"/>
          <w:sz w:val="20"/>
          <w:szCs w:val="20"/>
        </w:rPr>
        <w:t xml:space="preserve">.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rPr>
      </w:pPr>
      <w:r w:rsidRPr="000C7953">
        <w:rPr>
          <w:rFonts w:ascii="Helvetica" w:hAnsi="Helvetica" w:cs="Helvetica"/>
          <w:sz w:val="20"/>
          <w:szCs w:val="20"/>
        </w:rPr>
        <w:t xml:space="preserve">Students are required to conduct </w:t>
      </w:r>
      <w:r w:rsidRPr="000C7953">
        <w:rPr>
          <w:rFonts w:ascii="Helvetica" w:hAnsi="Helvetica" w:cs="Helvetica"/>
          <w:sz w:val="20"/>
          <w:szCs w:val="20"/>
          <w:u w:val="single"/>
        </w:rPr>
        <w:t>a practical investigation, into an idea, issue, concept or theme, supported by written material</w:t>
      </w:r>
      <w:r w:rsidRPr="000C7953">
        <w:rPr>
          <w:rFonts w:ascii="Helvetica" w:hAnsi="Helvetica" w:cs="Helvetica"/>
          <w:sz w:val="20"/>
          <w:szCs w:val="20"/>
        </w:rPr>
        <w:t xml:space="preserve">. </w:t>
      </w:r>
      <w:r w:rsidRPr="000C7953">
        <w:rPr>
          <w:rFonts w:ascii="Helvetica" w:hAnsi="Helvetica" w:cs="Helvetica"/>
          <w:sz w:val="20"/>
          <w:szCs w:val="20"/>
          <w:u w:val="single"/>
        </w:rPr>
        <w:t>The focus of the investigation must be identified independently by the student and must lead to a finished outcome or a series of related finished outcomes</w:t>
      </w:r>
      <w:r w:rsidRPr="000C7953">
        <w:rPr>
          <w:rFonts w:ascii="Helvetica" w:hAnsi="Helvetica" w:cs="Helvetica"/>
          <w:sz w:val="20"/>
          <w:szCs w:val="20"/>
        </w:rPr>
        <w:t xml:space="preserve">.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u w:val="single"/>
        </w:rPr>
      </w:pPr>
      <w:r w:rsidRPr="000C7953">
        <w:rPr>
          <w:rFonts w:ascii="Helvetica" w:hAnsi="Helvetica" w:cs="Helvetica"/>
          <w:sz w:val="20"/>
          <w:szCs w:val="20"/>
        </w:rPr>
        <w:t xml:space="preserve">The investigation should be a coherent, in-depth study that demonstrates the student’s ability to construct and develop a </w:t>
      </w:r>
      <w:r w:rsidRPr="000C7953">
        <w:rPr>
          <w:rFonts w:ascii="Helvetica" w:hAnsi="Helvetica" w:cs="Helvetica"/>
          <w:sz w:val="20"/>
          <w:szCs w:val="20"/>
          <w:u w:val="single"/>
        </w:rPr>
        <w:t xml:space="preserve">sustained line of reasoning from an initial starting point to a final realisation.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rPr>
      </w:pPr>
      <w:r w:rsidRPr="000C7953">
        <w:rPr>
          <w:rFonts w:ascii="Helvetica" w:hAnsi="Helvetica" w:cs="Helvetica"/>
          <w:sz w:val="20"/>
          <w:szCs w:val="20"/>
        </w:rPr>
        <w:t xml:space="preserve">The </w:t>
      </w:r>
      <w:r w:rsidRPr="000C7953">
        <w:rPr>
          <w:rFonts w:ascii="Helvetica" w:hAnsi="Helvetica" w:cs="Helvetica"/>
          <w:sz w:val="20"/>
          <w:szCs w:val="20"/>
          <w:u w:val="single"/>
        </w:rPr>
        <w:t>investigation must show clear development from initial intentions to the final outcome or outcomes.</w:t>
      </w:r>
      <w:r w:rsidRPr="000C7953">
        <w:rPr>
          <w:rFonts w:ascii="Helvetica" w:hAnsi="Helvetica" w:cs="Helvetica"/>
          <w:sz w:val="20"/>
          <w:szCs w:val="20"/>
        </w:rPr>
        <w:t xml:space="preserve"> It must include evidence of the student’s ability to research and develop ideas and relate their work in meaningful ways to relevant critical/contextual materials.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u w:val="single"/>
        </w:rPr>
      </w:pPr>
      <w:r w:rsidRPr="000C7953">
        <w:rPr>
          <w:rFonts w:ascii="Helvetica" w:hAnsi="Helvetica" w:cs="Helvetica"/>
          <w:sz w:val="20"/>
          <w:szCs w:val="20"/>
        </w:rPr>
        <w:t xml:space="preserve">The investigation must be informed by an aspect of </w:t>
      </w:r>
      <w:r w:rsidRPr="000C7953">
        <w:rPr>
          <w:rFonts w:ascii="Helvetica" w:hAnsi="Helvetica" w:cs="Helvetica"/>
          <w:sz w:val="20"/>
          <w:szCs w:val="20"/>
          <w:u w:val="single"/>
        </w:rPr>
        <w:t xml:space="preserve">contemporary or past practice of artists, photographers, designers or craftspeople.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b/>
          <w:sz w:val="20"/>
          <w:szCs w:val="20"/>
        </w:rPr>
      </w:pPr>
      <w:r w:rsidRPr="000C7953">
        <w:rPr>
          <w:rFonts w:ascii="Helvetica" w:hAnsi="Helvetica" w:cs="Helvetica"/>
          <w:b/>
          <w:sz w:val="20"/>
          <w:szCs w:val="20"/>
        </w:rPr>
        <w:t xml:space="preserve">The written material must confirm understanding of creative decisions, providing evidence of all four assessment objectives by: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r w:rsidRPr="00FB4275">
        <w:rPr>
          <w:rFonts w:ascii="Helvetica" w:hAnsi="Helvetica" w:cs="Helvetica"/>
          <w:sz w:val="20"/>
          <w:szCs w:val="20"/>
        </w:rPr>
        <w:t xml:space="preserve">clarifying the focus of the investigation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r w:rsidRPr="00FB4275">
        <w:rPr>
          <w:rFonts w:ascii="Helvetica" w:hAnsi="Helvetica" w:cs="Helvetica"/>
          <w:sz w:val="20"/>
          <w:szCs w:val="20"/>
        </w:rPr>
        <w:t xml:space="preserve">demonstrating critical understanding of contextual and other sources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r w:rsidRPr="00FB4275">
        <w:rPr>
          <w:rFonts w:ascii="Helvetica" w:hAnsi="Helvetica" w:cs="Helvetica"/>
          <w:sz w:val="20"/>
          <w:szCs w:val="20"/>
        </w:rPr>
        <w:t xml:space="preserve">substantiating decisions leading to the development and refinement of ideas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r w:rsidRPr="00FB4275">
        <w:rPr>
          <w:rFonts w:ascii="Helvetica" w:hAnsi="Helvetica" w:cs="Helvetica"/>
          <w:sz w:val="20"/>
          <w:szCs w:val="20"/>
        </w:rPr>
        <w:t xml:space="preserve">recording ideas, observations and insights relevant to intentions by reflecting critically on practical work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proofErr w:type="gramStart"/>
      <w:r w:rsidRPr="00FB4275">
        <w:rPr>
          <w:rFonts w:ascii="Helvetica" w:hAnsi="Helvetica" w:cs="Helvetica"/>
          <w:sz w:val="20"/>
          <w:szCs w:val="20"/>
        </w:rPr>
        <w:t>making</w:t>
      </w:r>
      <w:proofErr w:type="gramEnd"/>
      <w:r w:rsidRPr="00FB4275">
        <w:rPr>
          <w:rFonts w:ascii="Helvetica" w:hAnsi="Helvetica" w:cs="Helvetica"/>
          <w:sz w:val="20"/>
          <w:szCs w:val="20"/>
        </w:rPr>
        <w:t xml:space="preserve"> meaningful connections between, visual, written and other elements.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b/>
          <w:sz w:val="20"/>
          <w:szCs w:val="20"/>
        </w:rPr>
      </w:pPr>
      <w:r w:rsidRPr="000C7953">
        <w:rPr>
          <w:rFonts w:ascii="Helvetica" w:hAnsi="Helvetica" w:cs="Helvetica"/>
          <w:b/>
          <w:sz w:val="20"/>
          <w:szCs w:val="20"/>
        </w:rPr>
        <w:t xml:space="preserve">The written material must: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u w:val="single"/>
        </w:rPr>
      </w:pPr>
      <w:proofErr w:type="gramStart"/>
      <w:r w:rsidRPr="00FB4275">
        <w:rPr>
          <w:rFonts w:ascii="Helvetica" w:hAnsi="Helvetica" w:cs="Helvetica"/>
          <w:sz w:val="20"/>
          <w:szCs w:val="20"/>
        </w:rPr>
        <w:t>be</w:t>
      </w:r>
      <w:proofErr w:type="gramEnd"/>
      <w:r w:rsidRPr="00FB4275">
        <w:rPr>
          <w:rFonts w:ascii="Helvetica" w:hAnsi="Helvetica" w:cs="Helvetica"/>
          <w:sz w:val="20"/>
          <w:szCs w:val="20"/>
        </w:rPr>
        <w:t xml:space="preserve"> a coherent and logically structured extended </w:t>
      </w:r>
      <w:r w:rsidRPr="00FB4275">
        <w:rPr>
          <w:rFonts w:ascii="Helvetica" w:hAnsi="Helvetica" w:cs="Helvetica"/>
          <w:sz w:val="20"/>
          <w:szCs w:val="20"/>
          <w:u w:val="single"/>
        </w:rPr>
        <w:t xml:space="preserve">response of between 1000 and 3000 words of continuous prose.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r w:rsidRPr="00FB4275">
        <w:rPr>
          <w:rFonts w:ascii="Helvetica" w:hAnsi="Helvetica" w:cs="Helvetica"/>
          <w:sz w:val="20"/>
          <w:szCs w:val="20"/>
        </w:rPr>
        <w:t xml:space="preserve">include specialist vocabulary appropriate to the subject matter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r w:rsidRPr="00FB4275">
        <w:rPr>
          <w:rFonts w:ascii="Helvetica" w:hAnsi="Helvetica" w:cs="Helvetica"/>
          <w:sz w:val="20"/>
          <w:szCs w:val="20"/>
          <w:u w:val="single"/>
        </w:rPr>
        <w:lastRenderedPageBreak/>
        <w:t>include a bibliography</w:t>
      </w:r>
      <w:r w:rsidRPr="00FB4275">
        <w:rPr>
          <w:rFonts w:ascii="Helvetica" w:hAnsi="Helvetica" w:cs="Helvetica"/>
          <w:sz w:val="20"/>
          <w:szCs w:val="20"/>
        </w:rPr>
        <w:t xml:space="preserve"> that, identifies contextual references from sources such as: books, journals, websites, through studies of others’ work made during a residency, or on a site, museum or gallery visit </w:t>
      </w:r>
    </w:p>
    <w:p w:rsidR="002A7747" w:rsidRPr="00FB4275" w:rsidRDefault="002A7747" w:rsidP="00FB4275">
      <w:pPr>
        <w:pStyle w:val="ListParagraph"/>
        <w:numPr>
          <w:ilvl w:val="0"/>
          <w:numId w:val="9"/>
        </w:numPr>
        <w:shd w:val="clear" w:color="auto" w:fill="FFFFFF"/>
        <w:spacing w:after="180" w:line="360" w:lineRule="auto"/>
        <w:textAlignment w:val="baseline"/>
        <w:outlineLvl w:val="3"/>
        <w:rPr>
          <w:rFonts w:ascii="Helvetica" w:hAnsi="Helvetica" w:cs="Helvetica"/>
          <w:sz w:val="20"/>
          <w:szCs w:val="20"/>
        </w:rPr>
      </w:pPr>
      <w:proofErr w:type="gramStart"/>
      <w:r w:rsidRPr="00FB4275">
        <w:rPr>
          <w:rFonts w:ascii="Helvetica" w:hAnsi="Helvetica" w:cs="Helvetica"/>
          <w:sz w:val="20"/>
          <w:szCs w:val="20"/>
        </w:rPr>
        <w:t>be</w:t>
      </w:r>
      <w:proofErr w:type="gramEnd"/>
      <w:r w:rsidRPr="00FB4275">
        <w:rPr>
          <w:rFonts w:ascii="Helvetica" w:hAnsi="Helvetica" w:cs="Helvetica"/>
          <w:sz w:val="20"/>
          <w:szCs w:val="20"/>
        </w:rPr>
        <w:t xml:space="preserve"> legible with accurate use of </w:t>
      </w:r>
      <w:r w:rsidRPr="00FB4275">
        <w:rPr>
          <w:rFonts w:ascii="Helvetica" w:hAnsi="Helvetica" w:cs="Helvetica"/>
          <w:sz w:val="20"/>
          <w:szCs w:val="20"/>
          <w:u w:val="single"/>
        </w:rPr>
        <w:t>spelling, punctuation and grammar</w:t>
      </w:r>
      <w:r w:rsidRPr="00FB4275">
        <w:rPr>
          <w:rFonts w:ascii="Helvetica" w:hAnsi="Helvetica" w:cs="Helvetica"/>
          <w:sz w:val="20"/>
          <w:szCs w:val="20"/>
        </w:rPr>
        <w:t xml:space="preserve"> so that meaning is clear. </w:t>
      </w:r>
      <w:bookmarkStart w:id="0" w:name="_GoBack"/>
      <w:bookmarkEnd w:id="0"/>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u w:val="single"/>
        </w:rPr>
      </w:pPr>
      <w:r w:rsidRPr="000C7953">
        <w:rPr>
          <w:rFonts w:ascii="Helvetica" w:hAnsi="Helvetica" w:cs="Helvetica"/>
          <w:sz w:val="20"/>
          <w:szCs w:val="20"/>
          <w:u w:val="single"/>
        </w:rPr>
        <w:t xml:space="preserve">Annotation must not be included in the word count for the written material.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rPr>
      </w:pPr>
      <w:r w:rsidRPr="000C7953">
        <w:rPr>
          <w:rFonts w:ascii="Helvetica" w:hAnsi="Helvetica" w:cs="Helvetica"/>
          <w:sz w:val="20"/>
          <w:szCs w:val="20"/>
        </w:rPr>
        <w:t xml:space="preserve">Students can present the written material as a single passage of continuous prose or as a series of shorter discrete, but linked, passages of continuous prose incorporated within the practical work.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rPr>
      </w:pPr>
      <w:r w:rsidRPr="000C7953">
        <w:rPr>
          <w:rFonts w:ascii="Helvetica" w:hAnsi="Helvetica" w:cs="Helvetica"/>
          <w:sz w:val="20"/>
          <w:szCs w:val="20"/>
        </w:rPr>
        <w:t xml:space="preserve">There is no restriction on the scale of practical work produced. </w:t>
      </w:r>
      <w:r w:rsidRPr="000C7953">
        <w:rPr>
          <w:rFonts w:ascii="Helvetica" w:hAnsi="Helvetica" w:cs="Helvetica"/>
          <w:sz w:val="20"/>
          <w:szCs w:val="20"/>
          <w:u w:val="single"/>
        </w:rPr>
        <w:t>Students should carefully select, organise and present their work for their Personal investigation to ensure it is well structured and provides evidence that meets the requirements of all four assessment objectives</w:t>
      </w:r>
      <w:r w:rsidRPr="000C7953">
        <w:rPr>
          <w:rFonts w:ascii="Helvetica" w:hAnsi="Helvetica" w:cs="Helvetica"/>
          <w:sz w:val="20"/>
          <w:szCs w:val="20"/>
        </w:rPr>
        <w:t xml:space="preserve">.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rPr>
      </w:pPr>
      <w:r w:rsidRPr="000C7953">
        <w:rPr>
          <w:rFonts w:ascii="Helvetica" w:hAnsi="Helvetica" w:cs="Helvetica"/>
          <w:sz w:val="20"/>
          <w:szCs w:val="20"/>
        </w:rPr>
        <w:t xml:space="preserve">The personal investigation will be assessed as a whole. Evidence of meeting the requirements of all four assessment objectives must be provided in both the practical and written material. </w:t>
      </w:r>
    </w:p>
    <w:p w:rsidR="002A7747" w:rsidRPr="000C7953" w:rsidRDefault="002A7747" w:rsidP="00460655">
      <w:pPr>
        <w:shd w:val="clear" w:color="auto" w:fill="FFFFFF"/>
        <w:spacing w:before="240" w:after="180" w:line="240" w:lineRule="auto"/>
        <w:textAlignment w:val="baseline"/>
        <w:outlineLvl w:val="3"/>
        <w:rPr>
          <w:rFonts w:ascii="Helvetica" w:hAnsi="Helvetica" w:cs="Helvetica"/>
          <w:sz w:val="20"/>
          <w:szCs w:val="20"/>
          <w:u w:val="single"/>
        </w:rPr>
      </w:pPr>
      <w:r w:rsidRPr="000C7953">
        <w:rPr>
          <w:rFonts w:ascii="Helvetica" w:hAnsi="Helvetica" w:cs="Helvetica"/>
          <w:sz w:val="20"/>
          <w:szCs w:val="20"/>
          <w:u w:val="single"/>
        </w:rPr>
        <w:t>Students must identify and acknowledge sources which are not their own.</w:t>
      </w:r>
    </w:p>
    <w:p w:rsidR="002A7747" w:rsidRPr="000C7953" w:rsidRDefault="002A7747" w:rsidP="00460655">
      <w:pPr>
        <w:shd w:val="clear" w:color="auto" w:fill="FFFFFF"/>
        <w:spacing w:before="240" w:after="180" w:line="240" w:lineRule="auto"/>
        <w:textAlignment w:val="baseline"/>
        <w:outlineLvl w:val="3"/>
        <w:rPr>
          <w:rFonts w:ascii="Helvetica" w:eastAsia="Times New Roman" w:hAnsi="Helvetica" w:cs="Helvetica"/>
          <w:i/>
          <w:color w:val="412878"/>
          <w:sz w:val="20"/>
          <w:szCs w:val="20"/>
          <w:u w:val="single"/>
          <w:lang w:eastAsia="en-GB"/>
        </w:rPr>
      </w:pPr>
    </w:p>
    <w:p w:rsidR="00460655" w:rsidRPr="00DF1446" w:rsidRDefault="00460655" w:rsidP="00460655">
      <w:pPr>
        <w:shd w:val="clear" w:color="auto" w:fill="FFFFFF"/>
        <w:spacing w:before="240" w:after="180" w:line="240" w:lineRule="auto"/>
        <w:textAlignment w:val="baseline"/>
        <w:outlineLvl w:val="3"/>
        <w:rPr>
          <w:rFonts w:ascii="Helvetica" w:eastAsia="Times New Roman" w:hAnsi="Helvetica" w:cs="Times New Roman"/>
          <w:color w:val="412878"/>
          <w:sz w:val="29"/>
          <w:szCs w:val="29"/>
          <w:u w:val="single"/>
          <w:lang w:eastAsia="en-GB"/>
        </w:rPr>
      </w:pPr>
      <w:r w:rsidRPr="00DF1446">
        <w:rPr>
          <w:rFonts w:ascii="Helvetica" w:eastAsia="Times New Roman" w:hAnsi="Helvetica" w:cs="Times New Roman"/>
          <w:color w:val="412878"/>
          <w:sz w:val="29"/>
          <w:szCs w:val="29"/>
          <w:u w:val="single"/>
          <w:lang w:eastAsia="en-GB"/>
        </w:rPr>
        <w:t>Component 2- Externally set assignment</w:t>
      </w:r>
    </w:p>
    <w:p w:rsidR="00460655" w:rsidRPr="00E752AE" w:rsidRDefault="00460655" w:rsidP="00460655">
      <w:pPr>
        <w:shd w:val="clear" w:color="auto" w:fill="FFFFFF"/>
        <w:spacing w:after="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A choice of five questions to be used as starting points. Students are required to select </w:t>
      </w:r>
      <w:r w:rsidRPr="00E752AE">
        <w:rPr>
          <w:rFonts w:ascii="Helvetica" w:eastAsia="Times New Roman" w:hAnsi="Helvetica" w:cs="Times New Roman"/>
          <w:b/>
          <w:bCs/>
          <w:sz w:val="20"/>
          <w:szCs w:val="20"/>
          <w:u w:val="single"/>
          <w:bdr w:val="none" w:sz="0" w:space="0" w:color="auto" w:frame="1"/>
          <w:lang w:eastAsia="en-GB"/>
        </w:rPr>
        <w:t>one</w:t>
      </w:r>
      <w:r w:rsidRPr="00E752AE">
        <w:rPr>
          <w:rFonts w:ascii="Helvetica" w:eastAsia="Times New Roman" w:hAnsi="Helvetica" w:cs="Times New Roman"/>
          <w:sz w:val="20"/>
          <w:szCs w:val="20"/>
          <w:lang w:eastAsia="en-GB"/>
        </w:rPr>
        <w:t>. </w:t>
      </w:r>
      <w:r w:rsidRPr="00E752AE">
        <w:rPr>
          <w:rFonts w:ascii="Helvetica" w:eastAsia="Times New Roman" w:hAnsi="Helvetica" w:cs="Times New Roman"/>
          <w:sz w:val="20"/>
          <w:szCs w:val="20"/>
          <w:bdr w:val="none" w:sz="0" w:space="0" w:color="auto" w:frame="1"/>
          <w:lang w:eastAsia="en-GB"/>
        </w:rPr>
        <w:t>Students will be provided with examination papers on 1 February, or as soon as possible after that date.</w:t>
      </w:r>
    </w:p>
    <w:p w:rsidR="00460655" w:rsidRPr="00E752AE" w:rsidRDefault="00460655" w:rsidP="00460655">
      <w:pPr>
        <w:shd w:val="clear" w:color="auto" w:fill="FFFFFF"/>
        <w:spacing w:after="0" w:line="360" w:lineRule="atLeast"/>
        <w:textAlignment w:val="baseline"/>
        <w:rPr>
          <w:rFonts w:ascii="Helvetica" w:eastAsia="Times New Roman" w:hAnsi="Helvetica" w:cs="Times New Roman"/>
          <w:b/>
          <w:bCs/>
          <w:sz w:val="20"/>
          <w:szCs w:val="20"/>
          <w:bdr w:val="none" w:sz="0" w:space="0" w:color="auto" w:frame="1"/>
          <w:lang w:eastAsia="en-GB"/>
        </w:rPr>
      </w:pPr>
    </w:p>
    <w:p w:rsidR="00460655" w:rsidRPr="00E752AE" w:rsidRDefault="00460655" w:rsidP="00460655">
      <w:pPr>
        <w:shd w:val="clear" w:color="auto" w:fill="FFFFFF"/>
        <w:spacing w:after="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bCs/>
          <w:sz w:val="20"/>
          <w:szCs w:val="20"/>
          <w:bdr w:val="none" w:sz="0" w:space="0" w:color="auto" w:frame="1"/>
          <w:lang w:eastAsia="en-GB"/>
        </w:rPr>
        <w:t>Preparatory period - from 1 February</w:t>
      </w:r>
    </w:p>
    <w:p w:rsidR="00460655" w:rsidRPr="00E752AE" w:rsidRDefault="00460655" w:rsidP="00460655">
      <w:pPr>
        <w:shd w:val="clear" w:color="auto" w:fill="FFFFFF"/>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 xml:space="preserve">Following receipt of the paper students should consider the starting points and </w:t>
      </w:r>
      <w:r w:rsidRPr="00E752AE">
        <w:rPr>
          <w:rFonts w:ascii="Helvetica" w:eastAsia="Times New Roman" w:hAnsi="Helvetica" w:cs="Times New Roman"/>
          <w:sz w:val="20"/>
          <w:szCs w:val="20"/>
          <w:u w:val="single"/>
          <w:lang w:eastAsia="en-GB"/>
        </w:rPr>
        <w:t>select one</w:t>
      </w:r>
      <w:r w:rsidRPr="00E752AE">
        <w:rPr>
          <w:rFonts w:ascii="Helvetica" w:eastAsia="Times New Roman" w:hAnsi="Helvetica" w:cs="Times New Roman"/>
          <w:sz w:val="20"/>
          <w:szCs w:val="20"/>
          <w:lang w:eastAsia="en-GB"/>
        </w:rPr>
        <w:t>. Preparatory work should be presented in any suitable format, such as mounted sheets, design sheets, sketchbooks, workbooks, journals, models and maquettes.</w:t>
      </w:r>
    </w:p>
    <w:p w:rsidR="00460655" w:rsidRPr="00E752AE" w:rsidRDefault="003354D3" w:rsidP="00460655">
      <w:pPr>
        <w:spacing w:after="240" w:line="360" w:lineRule="atLeast"/>
        <w:textAlignment w:val="baseline"/>
        <w:rPr>
          <w:rFonts w:ascii="Helvetica" w:eastAsia="Times New Roman" w:hAnsi="Helvetica" w:cs="Times New Roman"/>
          <w:b/>
          <w:bCs/>
          <w:sz w:val="20"/>
          <w:szCs w:val="20"/>
          <w:bdr w:val="none" w:sz="0" w:space="0" w:color="auto" w:frame="1"/>
          <w:shd w:val="clear" w:color="auto" w:fill="FFFFFF"/>
          <w:lang w:eastAsia="en-GB"/>
        </w:rPr>
      </w:pPr>
      <w:r>
        <w:rPr>
          <w:rFonts w:ascii="Helvetica" w:eastAsia="Times New Roman" w:hAnsi="Helvetica" w:cs="Times New Roman"/>
          <w:b/>
          <w:bCs/>
          <w:sz w:val="20"/>
          <w:szCs w:val="20"/>
          <w:bdr w:val="none" w:sz="0" w:space="0" w:color="auto" w:frame="1"/>
          <w:shd w:val="clear" w:color="auto" w:fill="FFFFFF"/>
          <w:lang w:eastAsia="en-GB"/>
        </w:rPr>
        <w:t>Supervised time – 15</w:t>
      </w:r>
      <w:r w:rsidR="00460655" w:rsidRPr="00E752AE">
        <w:rPr>
          <w:rFonts w:ascii="Helvetica" w:eastAsia="Times New Roman" w:hAnsi="Helvetica" w:cs="Times New Roman"/>
          <w:b/>
          <w:bCs/>
          <w:sz w:val="20"/>
          <w:szCs w:val="20"/>
          <w:bdr w:val="none" w:sz="0" w:space="0" w:color="auto" w:frame="1"/>
          <w:shd w:val="clear" w:color="auto" w:fill="FFFFFF"/>
          <w:lang w:eastAsia="en-GB"/>
        </w:rPr>
        <w:t xml:space="preserve"> hours</w:t>
      </w:r>
    </w:p>
    <w:p w:rsidR="00460655" w:rsidRPr="00E752AE" w:rsidRDefault="00460655" w:rsidP="00460655">
      <w:pPr>
        <w:pStyle w:val="ListParagraph"/>
        <w:numPr>
          <w:ilvl w:val="0"/>
          <w:numId w:val="4"/>
        </w:numPr>
        <w:shd w:val="clear" w:color="auto" w:fill="FFFFFF"/>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Following the preparatory p</w:t>
      </w:r>
      <w:r w:rsidR="003354D3">
        <w:rPr>
          <w:rFonts w:ascii="Helvetica" w:eastAsia="Times New Roman" w:hAnsi="Helvetica" w:cs="Times New Roman"/>
          <w:sz w:val="20"/>
          <w:szCs w:val="20"/>
          <w:lang w:eastAsia="en-GB"/>
        </w:rPr>
        <w:t>eriod, students must complete 15</w:t>
      </w:r>
      <w:r w:rsidRPr="00E752AE">
        <w:rPr>
          <w:rFonts w:ascii="Helvetica" w:eastAsia="Times New Roman" w:hAnsi="Helvetica" w:cs="Times New Roman"/>
          <w:sz w:val="20"/>
          <w:szCs w:val="20"/>
          <w:lang w:eastAsia="en-GB"/>
        </w:rPr>
        <w:t xml:space="preserve"> hours of unaided, supervised time.</w:t>
      </w:r>
    </w:p>
    <w:p w:rsidR="00460655" w:rsidRPr="00E752AE" w:rsidRDefault="00460655" w:rsidP="00460655">
      <w:pPr>
        <w:pStyle w:val="ListParagraph"/>
        <w:numPr>
          <w:ilvl w:val="0"/>
          <w:numId w:val="4"/>
        </w:numPr>
        <w:shd w:val="clear" w:color="auto" w:fill="FFFFFF"/>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The first 3 hours of the supervised time must be consecutive.</w:t>
      </w:r>
    </w:p>
    <w:p w:rsidR="00460655" w:rsidRPr="00E752AE" w:rsidRDefault="003354D3" w:rsidP="00460655">
      <w:pPr>
        <w:pStyle w:val="ListParagraph"/>
        <w:numPr>
          <w:ilvl w:val="0"/>
          <w:numId w:val="4"/>
        </w:numPr>
        <w:shd w:val="clear" w:color="auto" w:fill="FFFFFF"/>
        <w:spacing w:after="240" w:line="360" w:lineRule="atLeast"/>
        <w:textAlignment w:val="baseline"/>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In the 15</w:t>
      </w:r>
      <w:r w:rsidR="00460655" w:rsidRPr="00E752AE">
        <w:rPr>
          <w:rFonts w:ascii="Helvetica" w:eastAsia="Times New Roman" w:hAnsi="Helvetica" w:cs="Times New Roman"/>
          <w:sz w:val="20"/>
          <w:szCs w:val="20"/>
          <w:lang w:eastAsia="en-GB"/>
        </w:rPr>
        <w:t xml:space="preserve"> hours </w:t>
      </w:r>
      <w:r w:rsidR="00460655" w:rsidRPr="00E752AE">
        <w:rPr>
          <w:rFonts w:ascii="Helvetica" w:eastAsia="Times New Roman" w:hAnsi="Helvetica" w:cs="Times New Roman"/>
          <w:sz w:val="20"/>
          <w:szCs w:val="20"/>
          <w:u w:val="single"/>
          <w:lang w:eastAsia="en-GB"/>
        </w:rPr>
        <w:t>students must produce a finished outcome</w:t>
      </w:r>
      <w:r w:rsidR="00460655" w:rsidRPr="00E752AE">
        <w:rPr>
          <w:rFonts w:ascii="Helvetica" w:eastAsia="Times New Roman" w:hAnsi="Helvetica" w:cs="Times New Roman"/>
          <w:sz w:val="20"/>
          <w:szCs w:val="20"/>
          <w:lang w:eastAsia="en-GB"/>
        </w:rPr>
        <w:t xml:space="preserve"> or a series of related finished outcomes, informed by their preparatory work.</w:t>
      </w:r>
    </w:p>
    <w:p w:rsidR="00460655" w:rsidRPr="00E752AE" w:rsidRDefault="00460655" w:rsidP="00460655">
      <w:pPr>
        <w:pStyle w:val="ListParagraph"/>
        <w:numPr>
          <w:ilvl w:val="0"/>
          <w:numId w:val="4"/>
        </w:numPr>
        <w:shd w:val="clear" w:color="auto" w:fill="FFFFFF"/>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 xml:space="preserve">Students </w:t>
      </w:r>
      <w:r w:rsidRPr="00E752AE">
        <w:rPr>
          <w:rFonts w:ascii="Helvetica" w:eastAsia="Times New Roman" w:hAnsi="Helvetica" w:cs="Times New Roman"/>
          <w:sz w:val="20"/>
          <w:szCs w:val="20"/>
          <w:u w:val="single"/>
          <w:lang w:eastAsia="en-GB"/>
        </w:rPr>
        <w:t>must stop work on their preparatory work as soon as the first period of supervised time starts</w:t>
      </w:r>
      <w:r w:rsidRPr="00E752AE">
        <w:rPr>
          <w:rFonts w:ascii="Helvetica" w:eastAsia="Times New Roman" w:hAnsi="Helvetica" w:cs="Times New Roman"/>
          <w:sz w:val="20"/>
          <w:szCs w:val="20"/>
          <w:lang w:eastAsia="en-GB"/>
        </w:rPr>
        <w:t xml:space="preserve">. </w:t>
      </w:r>
      <w:r w:rsidRPr="00E752AE">
        <w:rPr>
          <w:rFonts w:ascii="Helvetica" w:eastAsia="Times New Roman" w:hAnsi="Helvetica" w:cs="Times New Roman"/>
          <w:sz w:val="20"/>
          <w:szCs w:val="20"/>
          <w:u w:val="single"/>
          <w:lang w:eastAsia="en-GB"/>
        </w:rPr>
        <w:t>Students may refer to their preparatory work in the supervised time</w:t>
      </w:r>
      <w:r w:rsidRPr="00E752AE">
        <w:rPr>
          <w:rFonts w:ascii="Helvetica" w:eastAsia="Times New Roman" w:hAnsi="Helvetica" w:cs="Times New Roman"/>
          <w:sz w:val="20"/>
          <w:szCs w:val="20"/>
          <w:lang w:eastAsia="en-GB"/>
        </w:rPr>
        <w:t>, but it must not be added to or amended.</w:t>
      </w:r>
    </w:p>
    <w:p w:rsidR="00460655" w:rsidRPr="00E752AE" w:rsidRDefault="00460655" w:rsidP="00460655">
      <w:pPr>
        <w:pStyle w:val="ListParagraph"/>
        <w:numPr>
          <w:ilvl w:val="0"/>
          <w:numId w:val="4"/>
        </w:numPr>
        <w:shd w:val="clear" w:color="auto" w:fill="FFFFFF"/>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Preparatory work and the work produced during the supervised time must be kept secure in between sessions of supervised time.</w:t>
      </w:r>
    </w:p>
    <w:p w:rsidR="00460655" w:rsidRPr="00E752AE" w:rsidRDefault="00460655" w:rsidP="00460655">
      <w:pPr>
        <w:pStyle w:val="ListParagraph"/>
        <w:numPr>
          <w:ilvl w:val="0"/>
          <w:numId w:val="4"/>
        </w:numPr>
        <w:shd w:val="clear" w:color="auto" w:fill="FFFFFF"/>
        <w:spacing w:after="240" w:line="360" w:lineRule="atLeast"/>
        <w:textAlignment w:val="baseline"/>
        <w:rPr>
          <w:rFonts w:ascii="Helvetica" w:eastAsia="Times New Roman" w:hAnsi="Helvetica" w:cs="Times New Roman"/>
          <w:sz w:val="20"/>
          <w:szCs w:val="20"/>
          <w:u w:val="single"/>
          <w:lang w:eastAsia="en-GB"/>
        </w:rPr>
      </w:pPr>
      <w:r w:rsidRPr="00E752AE">
        <w:rPr>
          <w:rFonts w:ascii="Helvetica" w:eastAsia="Times New Roman" w:hAnsi="Helvetica" w:cs="Times New Roman"/>
          <w:sz w:val="20"/>
          <w:szCs w:val="20"/>
          <w:lang w:eastAsia="en-GB"/>
        </w:rPr>
        <w:t xml:space="preserve">The work produced during the supervised time must be clearly identified as such. </w:t>
      </w:r>
      <w:r w:rsidRPr="00E752AE">
        <w:rPr>
          <w:rFonts w:ascii="Helvetica" w:eastAsia="Times New Roman" w:hAnsi="Helvetica" w:cs="Times New Roman"/>
          <w:sz w:val="20"/>
          <w:szCs w:val="20"/>
          <w:u w:val="single"/>
          <w:lang w:eastAsia="en-GB"/>
        </w:rPr>
        <w:t>Students must identify and acknowledge sources which are not their own.</w:t>
      </w:r>
    </w:p>
    <w:p w:rsidR="00460655" w:rsidRPr="00E752AE" w:rsidRDefault="003354D3" w:rsidP="00460655">
      <w:pPr>
        <w:pStyle w:val="ListParagraph"/>
        <w:numPr>
          <w:ilvl w:val="0"/>
          <w:numId w:val="4"/>
        </w:numPr>
        <w:shd w:val="clear" w:color="auto" w:fill="FFFFFF"/>
        <w:spacing w:after="240" w:line="360" w:lineRule="atLeast"/>
        <w:textAlignment w:val="baseline"/>
        <w:rPr>
          <w:rFonts w:ascii="Helvetica" w:eastAsia="Times New Roman" w:hAnsi="Helvetica" w:cs="Times New Roman"/>
          <w:sz w:val="20"/>
          <w:szCs w:val="20"/>
          <w:u w:val="single"/>
          <w:lang w:eastAsia="en-GB"/>
        </w:rPr>
      </w:pPr>
      <w:r>
        <w:rPr>
          <w:rFonts w:ascii="Helvetica" w:eastAsia="Times New Roman" w:hAnsi="Helvetica" w:cs="Times New Roman"/>
          <w:sz w:val="20"/>
          <w:szCs w:val="20"/>
          <w:u w:val="single"/>
          <w:lang w:eastAsia="en-GB"/>
        </w:rPr>
        <w:t>At the end of the 15</w:t>
      </w:r>
      <w:r w:rsidR="00460655" w:rsidRPr="00E752AE">
        <w:rPr>
          <w:rFonts w:ascii="Helvetica" w:eastAsia="Times New Roman" w:hAnsi="Helvetica" w:cs="Times New Roman"/>
          <w:sz w:val="20"/>
          <w:szCs w:val="20"/>
          <w:u w:val="single"/>
          <w:lang w:eastAsia="en-GB"/>
        </w:rPr>
        <w:t xml:space="preserve"> hours of supervised time all the work submitted for this component must be kept secure.</w:t>
      </w:r>
    </w:p>
    <w:p w:rsidR="00460655" w:rsidRPr="00E752AE" w:rsidRDefault="00460655" w:rsidP="00872730">
      <w:pPr>
        <w:pStyle w:val="NormalWeb"/>
        <w:shd w:val="clear" w:color="auto" w:fill="FFFFFF"/>
        <w:spacing w:before="0" w:beforeAutospacing="0" w:after="240" w:afterAutospacing="0" w:line="360" w:lineRule="atLeast"/>
        <w:textAlignment w:val="baseline"/>
        <w:rPr>
          <w:rFonts w:ascii="Helvetica" w:hAnsi="Helvetica"/>
          <w:sz w:val="20"/>
          <w:szCs w:val="20"/>
        </w:rPr>
      </w:pPr>
      <w:r w:rsidRPr="00E752AE">
        <w:rPr>
          <w:rFonts w:ascii="Helvetica" w:hAnsi="Helvetica"/>
          <w:sz w:val="20"/>
          <w:szCs w:val="20"/>
          <w:u w:val="single"/>
        </w:rPr>
        <w:lastRenderedPageBreak/>
        <w:t>Preparatory work and the work produced during the 10 hours of supervised time will be assessed together</w:t>
      </w:r>
      <w:r w:rsidRPr="00E752AE">
        <w:rPr>
          <w:rFonts w:ascii="Helvetica" w:hAnsi="Helvetica"/>
          <w:sz w:val="20"/>
          <w:szCs w:val="20"/>
        </w:rPr>
        <w:t>, as a whole, against all four assessment objectives. Students will be assessed on their ability to work independently, working within the specified time constraints, and developing a personal and meaningful response.</w:t>
      </w:r>
    </w:p>
    <w:p w:rsidR="00460655" w:rsidRDefault="00460655" w:rsidP="00460655">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p>
    <w:p w:rsidR="00460655" w:rsidRPr="00740ED5" w:rsidRDefault="00460655" w:rsidP="00460655">
      <w:pPr>
        <w:pBdr>
          <w:bottom w:val="single" w:sz="24" w:space="0" w:color="EDEDED"/>
        </w:pBdr>
        <w:shd w:val="clear" w:color="auto" w:fill="FFFFFF"/>
        <w:spacing w:after="120" w:line="240" w:lineRule="auto"/>
        <w:jc w:val="center"/>
        <w:textAlignment w:val="baseline"/>
        <w:outlineLvl w:val="0"/>
        <w:rPr>
          <w:rFonts w:ascii="Helvetica" w:eastAsia="Times New Roman" w:hAnsi="Helvetica" w:cs="Times New Roman"/>
          <w:color w:val="412878"/>
          <w:kern w:val="36"/>
          <w:sz w:val="36"/>
          <w:szCs w:val="36"/>
          <w:u w:val="single"/>
          <w:lang w:eastAsia="en-GB"/>
        </w:rPr>
      </w:pPr>
      <w:r w:rsidRPr="00740ED5">
        <w:rPr>
          <w:rFonts w:ascii="Helvetica" w:eastAsia="Times New Roman" w:hAnsi="Helvetica" w:cs="Times New Roman"/>
          <w:color w:val="412878"/>
          <w:kern w:val="36"/>
          <w:sz w:val="36"/>
          <w:szCs w:val="36"/>
          <w:u w:val="single"/>
          <w:lang w:eastAsia="en-GB"/>
        </w:rPr>
        <w:t>Art, craft and design</w:t>
      </w:r>
    </w:p>
    <w:p w:rsidR="00460655" w:rsidRPr="00E752AE" w:rsidRDefault="00460655" w:rsidP="00460655">
      <w:pPr>
        <w:spacing w:after="240" w:line="360" w:lineRule="atLeast"/>
        <w:textAlignment w:val="baseline"/>
        <w:rPr>
          <w:rFonts w:ascii="Helvetica" w:eastAsia="Times New Roman" w:hAnsi="Helvetica" w:cs="Times New Roman"/>
          <w:sz w:val="20"/>
          <w:szCs w:val="20"/>
          <w:u w:val="single"/>
          <w:lang w:eastAsia="en-GB"/>
        </w:rPr>
      </w:pPr>
      <w:r w:rsidRPr="00E752AE">
        <w:rPr>
          <w:rFonts w:ascii="Helvetica" w:eastAsia="Times New Roman" w:hAnsi="Helvetica" w:cs="Times New Roman"/>
          <w:sz w:val="20"/>
          <w:szCs w:val="20"/>
          <w:u w:val="single"/>
          <w:lang w:eastAsia="en-GB"/>
        </w:rPr>
        <w:t>Students must be introduced to a variety of experiences that explore a range of two-dimensional and/or three-dimensional media, processes and techniques. They should be made aware of both traditional and new media.</w:t>
      </w:r>
    </w:p>
    <w:p w:rsidR="00460655" w:rsidRPr="00E752AE" w:rsidRDefault="00460655" w:rsidP="00460655">
      <w:pPr>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Students should explore the use of drawing for different purposes, using a variety of methods and media on a variety of scales. Students may use sketchbooks/workbooks/journals to underpin their work where appropriate.</w:t>
      </w:r>
    </w:p>
    <w:p w:rsidR="00460655" w:rsidRPr="00E752AE" w:rsidRDefault="00460655" w:rsidP="00460655">
      <w:pPr>
        <w:spacing w:after="240" w:line="360" w:lineRule="atLeast"/>
        <w:textAlignment w:val="baseline"/>
        <w:rPr>
          <w:rFonts w:ascii="Helvetica" w:eastAsia="Times New Roman" w:hAnsi="Helvetica" w:cs="Times New Roman"/>
          <w:sz w:val="20"/>
          <w:szCs w:val="20"/>
          <w:u w:val="single"/>
          <w:lang w:eastAsia="en-GB"/>
        </w:rPr>
      </w:pPr>
      <w:r w:rsidRPr="00E752AE">
        <w:rPr>
          <w:rFonts w:ascii="Helvetica" w:eastAsia="Times New Roman" w:hAnsi="Helvetica" w:cs="Times New Roman"/>
          <w:sz w:val="20"/>
          <w:szCs w:val="20"/>
          <w:u w:val="single"/>
          <w:lang w:eastAsia="en-GB"/>
        </w:rPr>
        <w:t>Students should explore relevant images, artefacts and resources relating to a range of art, craft and design, from the past and from recent times, including European and non-European examples</w:t>
      </w:r>
      <w:r w:rsidRPr="00E752AE">
        <w:rPr>
          <w:rFonts w:ascii="Helvetica" w:eastAsia="Times New Roman" w:hAnsi="Helvetica" w:cs="Times New Roman"/>
          <w:sz w:val="20"/>
          <w:szCs w:val="20"/>
          <w:lang w:eastAsia="en-GB"/>
        </w:rPr>
        <w:t xml:space="preserve">. This should be integral to the investigating and making processes. </w:t>
      </w:r>
      <w:r w:rsidRPr="00E752AE">
        <w:rPr>
          <w:rFonts w:ascii="Helvetica" w:eastAsia="Times New Roman" w:hAnsi="Helvetica" w:cs="Times New Roman"/>
          <w:sz w:val="20"/>
          <w:szCs w:val="20"/>
          <w:u w:val="single"/>
          <w:lang w:eastAsia="en-GB"/>
        </w:rPr>
        <w:t>Students' responses to these examples must be shown through practical and critical activities that demonstrate their understanding of different styles, genres and traditions.</w:t>
      </w:r>
    </w:p>
    <w:p w:rsidR="00460655" w:rsidRPr="00E752AE" w:rsidRDefault="00460655" w:rsidP="00460655">
      <w:pPr>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Students should be aware of the four assessment objectives to be demonstrated in the context of the content and skills presented. They should be aware of the importance of process as well as product.</w:t>
      </w:r>
    </w:p>
    <w:p w:rsidR="00460655" w:rsidRPr="00740ED5" w:rsidRDefault="00460655" w:rsidP="00460655">
      <w:pPr>
        <w:spacing w:before="240" w:after="180" w:line="240" w:lineRule="auto"/>
        <w:textAlignment w:val="baseline"/>
        <w:outlineLvl w:val="1"/>
        <w:rPr>
          <w:rFonts w:ascii="Helvetica" w:eastAsia="Times New Roman" w:hAnsi="Helvetica" w:cs="Times New Roman"/>
          <w:color w:val="412878"/>
          <w:sz w:val="32"/>
          <w:szCs w:val="32"/>
          <w:lang w:eastAsia="en-GB"/>
        </w:rPr>
      </w:pPr>
      <w:r w:rsidRPr="00740ED5">
        <w:rPr>
          <w:rFonts w:ascii="Helvetica" w:eastAsia="Times New Roman" w:hAnsi="Helvetica" w:cs="Times New Roman"/>
          <w:color w:val="412878"/>
          <w:sz w:val="32"/>
          <w:szCs w:val="32"/>
          <w:lang w:eastAsia="en-GB"/>
        </w:rPr>
        <w:t>Areas of study</w:t>
      </w:r>
    </w:p>
    <w:p w:rsidR="00460655" w:rsidRPr="00E752AE" w:rsidRDefault="00460655" w:rsidP="00460655">
      <w:pPr>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Within each component, students must demonstrate evidence that they have explored critical and contextual work through a range of two-dimensional and/or three-dimensional processes and media.</w:t>
      </w:r>
    </w:p>
    <w:p w:rsidR="00460655" w:rsidRPr="00E752AE" w:rsidRDefault="00460655" w:rsidP="00460655">
      <w:pPr>
        <w:pStyle w:val="ListParagraph"/>
        <w:numPr>
          <w:ilvl w:val="0"/>
          <w:numId w:val="5"/>
        </w:numPr>
        <w:spacing w:after="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sz w:val="20"/>
          <w:szCs w:val="20"/>
          <w:lang w:eastAsia="en-GB"/>
        </w:rPr>
        <w:t>Component 1:</w:t>
      </w:r>
      <w:r w:rsidRPr="00E752AE">
        <w:rPr>
          <w:rFonts w:ascii="Helvetica" w:eastAsia="Times New Roman" w:hAnsi="Helvetica" w:cs="Times New Roman"/>
          <w:sz w:val="20"/>
          <w:szCs w:val="20"/>
          <w:lang w:eastAsia="en-GB"/>
        </w:rPr>
        <w:t xml:space="preserve"> must show evidence of working in areas of study drawn from </w:t>
      </w:r>
      <w:r w:rsidRPr="00E752AE">
        <w:rPr>
          <w:rFonts w:ascii="Helvetica" w:eastAsia="Times New Roman" w:hAnsi="Helvetica" w:cs="Times New Roman"/>
          <w:b/>
          <w:bCs/>
          <w:sz w:val="20"/>
          <w:szCs w:val="20"/>
          <w:bdr w:val="none" w:sz="0" w:space="0" w:color="auto" w:frame="1"/>
          <w:lang w:eastAsia="en-GB"/>
        </w:rPr>
        <w:t>two or more</w:t>
      </w:r>
      <w:r w:rsidRPr="00E752AE">
        <w:rPr>
          <w:rFonts w:ascii="Helvetica" w:eastAsia="Times New Roman" w:hAnsi="Helvetica" w:cs="Times New Roman"/>
          <w:sz w:val="20"/>
          <w:szCs w:val="20"/>
          <w:lang w:eastAsia="en-GB"/>
        </w:rPr>
        <w:t> of the endorsed titles listed below.</w:t>
      </w:r>
    </w:p>
    <w:p w:rsidR="00460655" w:rsidRPr="00E752AE" w:rsidRDefault="00460655" w:rsidP="00460655">
      <w:pPr>
        <w:pStyle w:val="ListParagraph"/>
        <w:numPr>
          <w:ilvl w:val="0"/>
          <w:numId w:val="5"/>
        </w:numPr>
        <w:spacing w:after="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sz w:val="20"/>
          <w:szCs w:val="20"/>
          <w:lang w:eastAsia="en-GB"/>
        </w:rPr>
        <w:t>Component 2</w:t>
      </w:r>
      <w:r w:rsidRPr="00E752AE">
        <w:rPr>
          <w:rFonts w:ascii="Helvetica" w:eastAsia="Times New Roman" w:hAnsi="Helvetica" w:cs="Times New Roman"/>
          <w:sz w:val="20"/>
          <w:szCs w:val="20"/>
          <w:lang w:eastAsia="en-GB"/>
        </w:rPr>
        <w:t>: must show evidence of areas of study drawn from </w:t>
      </w:r>
      <w:r w:rsidRPr="00E752AE">
        <w:rPr>
          <w:rFonts w:ascii="Helvetica" w:eastAsia="Times New Roman" w:hAnsi="Helvetica" w:cs="Times New Roman"/>
          <w:b/>
          <w:bCs/>
          <w:sz w:val="20"/>
          <w:szCs w:val="20"/>
          <w:bdr w:val="none" w:sz="0" w:space="0" w:color="auto" w:frame="1"/>
          <w:lang w:eastAsia="en-GB"/>
        </w:rPr>
        <w:t>one or more</w:t>
      </w:r>
      <w:r w:rsidRPr="00E752AE">
        <w:rPr>
          <w:rFonts w:ascii="Helvetica" w:eastAsia="Times New Roman" w:hAnsi="Helvetica" w:cs="Times New Roman"/>
          <w:sz w:val="20"/>
          <w:szCs w:val="20"/>
          <w:lang w:eastAsia="en-GB"/>
        </w:rPr>
        <w:t> of the endorsed titles listed below.</w:t>
      </w:r>
    </w:p>
    <w:p w:rsidR="00460655" w:rsidRPr="00E752AE" w:rsidRDefault="00460655" w:rsidP="00460655">
      <w:pPr>
        <w:spacing w:after="240" w:line="360" w:lineRule="atLeast"/>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sz w:val="20"/>
          <w:szCs w:val="20"/>
          <w:lang w:eastAsia="en-GB"/>
        </w:rPr>
        <w:t>The area(s) of study selected for Component 1 can be the same as, or different to, those selected for Component 2.</w:t>
      </w:r>
    </w:p>
    <w:p w:rsidR="0038695D" w:rsidRDefault="0038695D" w:rsidP="00460655">
      <w:pPr>
        <w:spacing w:before="240" w:after="180" w:line="240" w:lineRule="auto"/>
        <w:textAlignment w:val="baseline"/>
        <w:outlineLvl w:val="1"/>
        <w:rPr>
          <w:rFonts w:ascii="Helvetica" w:eastAsia="Times New Roman" w:hAnsi="Helvetica" w:cs="Times New Roman"/>
          <w:color w:val="412878"/>
          <w:sz w:val="32"/>
          <w:szCs w:val="32"/>
          <w:lang w:eastAsia="en-GB"/>
        </w:rPr>
      </w:pPr>
    </w:p>
    <w:p w:rsidR="00460655" w:rsidRPr="000462A4" w:rsidRDefault="00460655" w:rsidP="00460655">
      <w:pPr>
        <w:spacing w:before="240" w:after="180" w:line="240" w:lineRule="auto"/>
        <w:textAlignment w:val="baseline"/>
        <w:outlineLvl w:val="1"/>
        <w:rPr>
          <w:rFonts w:ascii="Helvetica" w:eastAsia="Times New Roman" w:hAnsi="Helvetica" w:cs="Times New Roman"/>
          <w:color w:val="412878"/>
          <w:sz w:val="32"/>
          <w:szCs w:val="32"/>
          <w:lang w:eastAsia="en-GB"/>
        </w:rPr>
      </w:pPr>
      <w:r w:rsidRPr="000462A4">
        <w:rPr>
          <w:rFonts w:ascii="Helvetica" w:eastAsia="Times New Roman" w:hAnsi="Helvetica" w:cs="Times New Roman"/>
          <w:color w:val="412878"/>
          <w:sz w:val="32"/>
          <w:szCs w:val="32"/>
          <w:lang w:eastAsia="en-GB"/>
        </w:rPr>
        <w:t>Skills and techniques</w:t>
      </w:r>
    </w:p>
    <w:p w:rsidR="00460655" w:rsidRPr="00E752AE" w:rsidRDefault="00460655" w:rsidP="00460655">
      <w:pPr>
        <w:numPr>
          <w:ilvl w:val="0"/>
          <w:numId w:val="2"/>
        </w:numPr>
        <w:spacing w:after="0" w:line="360" w:lineRule="atLeast"/>
        <w:ind w:left="0"/>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bCs/>
          <w:sz w:val="20"/>
          <w:szCs w:val="20"/>
          <w:bdr w:val="none" w:sz="0" w:space="0" w:color="auto" w:frame="1"/>
          <w:lang w:eastAsia="en-GB"/>
        </w:rPr>
        <w:t>Fine art:</w:t>
      </w:r>
      <w:r w:rsidRPr="00E752AE">
        <w:rPr>
          <w:rFonts w:ascii="Helvetica" w:eastAsia="Times New Roman" w:hAnsi="Helvetica" w:cs="Times New Roman"/>
          <w:sz w:val="20"/>
          <w:szCs w:val="20"/>
          <w:lang w:eastAsia="en-GB"/>
        </w:rPr>
        <w:t> for example drawing, painting, mixed-media, sculpture, ceramics, installation, printmaking, moving image (video, film, animation) and photography.</w:t>
      </w:r>
    </w:p>
    <w:p w:rsidR="00460655" w:rsidRPr="00E752AE" w:rsidRDefault="00460655" w:rsidP="00460655">
      <w:pPr>
        <w:numPr>
          <w:ilvl w:val="0"/>
          <w:numId w:val="2"/>
        </w:numPr>
        <w:spacing w:after="0" w:line="360" w:lineRule="atLeast"/>
        <w:ind w:left="0"/>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bCs/>
          <w:sz w:val="20"/>
          <w:szCs w:val="20"/>
          <w:bdr w:val="none" w:sz="0" w:space="0" w:color="auto" w:frame="1"/>
          <w:lang w:eastAsia="en-GB"/>
        </w:rPr>
        <w:lastRenderedPageBreak/>
        <w:t>Graphic communication:</w:t>
      </w:r>
      <w:r w:rsidRPr="00E752AE">
        <w:rPr>
          <w:rFonts w:ascii="Helvetica" w:eastAsia="Times New Roman" w:hAnsi="Helvetica" w:cs="Times New Roman"/>
          <w:sz w:val="20"/>
          <w:szCs w:val="20"/>
          <w:lang w:eastAsia="en-GB"/>
        </w:rPr>
        <w:t> for example interactive media (including web, app and game design), advertising, packaging design, design for print, illustration, communication graphics, branding, multimedia, motion graphics, design for film and television.</w:t>
      </w:r>
    </w:p>
    <w:p w:rsidR="00460655" w:rsidRPr="00E752AE" w:rsidRDefault="00460655" w:rsidP="00460655">
      <w:pPr>
        <w:numPr>
          <w:ilvl w:val="0"/>
          <w:numId w:val="2"/>
        </w:numPr>
        <w:spacing w:after="0" w:line="360" w:lineRule="atLeast"/>
        <w:ind w:left="0"/>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bCs/>
          <w:sz w:val="20"/>
          <w:szCs w:val="20"/>
          <w:bdr w:val="none" w:sz="0" w:space="0" w:color="auto" w:frame="1"/>
          <w:lang w:eastAsia="en-GB"/>
        </w:rPr>
        <w:t>Textile design:</w:t>
      </w:r>
      <w:r w:rsidRPr="00E752AE">
        <w:rPr>
          <w:rFonts w:ascii="Helvetica" w:eastAsia="Times New Roman" w:hAnsi="Helvetica" w:cs="Times New Roman"/>
          <w:sz w:val="20"/>
          <w:szCs w:val="20"/>
          <w:lang w:eastAsia="en-GB"/>
        </w:rPr>
        <w:t> for example fashion design, fashion textiles, costume design, digital textiles, printed and/or dyed fabrics and materials, domestic textiles, wallpaper, interior design, constructed textiles, art textiles and installed textiles.</w:t>
      </w:r>
    </w:p>
    <w:p w:rsidR="00460655" w:rsidRPr="00E752AE" w:rsidRDefault="00460655" w:rsidP="00460655">
      <w:pPr>
        <w:numPr>
          <w:ilvl w:val="0"/>
          <w:numId w:val="2"/>
        </w:numPr>
        <w:spacing w:after="0" w:line="360" w:lineRule="atLeast"/>
        <w:ind w:left="0"/>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bCs/>
          <w:sz w:val="20"/>
          <w:szCs w:val="20"/>
          <w:bdr w:val="none" w:sz="0" w:space="0" w:color="auto" w:frame="1"/>
          <w:lang w:eastAsia="en-GB"/>
        </w:rPr>
        <w:t>Three-dimensional design:</w:t>
      </w:r>
      <w:r w:rsidRPr="00E752AE">
        <w:rPr>
          <w:rFonts w:ascii="Helvetica" w:eastAsia="Times New Roman" w:hAnsi="Helvetica" w:cs="Times New Roman"/>
          <w:sz w:val="20"/>
          <w:szCs w:val="20"/>
          <w:lang w:eastAsia="en-GB"/>
        </w:rPr>
        <w:t> for example ceramics, sculpture, exhibition design, design for theatre, television and film, interior design, product design, environmental design, architectural design, jewellery/body ornament and 3D digital design.</w:t>
      </w:r>
    </w:p>
    <w:p w:rsidR="0038695D" w:rsidRDefault="00460655" w:rsidP="00166933">
      <w:pPr>
        <w:numPr>
          <w:ilvl w:val="0"/>
          <w:numId w:val="2"/>
        </w:numPr>
        <w:spacing w:after="0" w:line="360" w:lineRule="atLeast"/>
        <w:ind w:left="0"/>
        <w:textAlignment w:val="baseline"/>
        <w:rPr>
          <w:rFonts w:ascii="Helvetica" w:eastAsia="Times New Roman" w:hAnsi="Helvetica" w:cs="Times New Roman"/>
          <w:sz w:val="20"/>
          <w:szCs w:val="20"/>
          <w:lang w:eastAsia="en-GB"/>
        </w:rPr>
      </w:pPr>
      <w:r w:rsidRPr="00E752AE">
        <w:rPr>
          <w:rFonts w:ascii="Helvetica" w:eastAsia="Times New Roman" w:hAnsi="Helvetica" w:cs="Times New Roman"/>
          <w:b/>
          <w:bCs/>
          <w:sz w:val="20"/>
          <w:szCs w:val="20"/>
          <w:bdr w:val="none" w:sz="0" w:space="0" w:color="auto" w:frame="1"/>
          <w:lang w:eastAsia="en-GB"/>
        </w:rPr>
        <w:t>Photography: </w:t>
      </w:r>
      <w:r w:rsidRPr="00E752AE">
        <w:rPr>
          <w:rFonts w:ascii="Helvetica" w:eastAsia="Times New Roman" w:hAnsi="Helvetica" w:cs="Times New Roman"/>
          <w:sz w:val="20"/>
          <w:szCs w:val="20"/>
          <w:lang w:eastAsia="en-GB"/>
        </w:rPr>
        <w:t>for example</w:t>
      </w:r>
      <w:r w:rsidRPr="00E752AE">
        <w:rPr>
          <w:rFonts w:ascii="Helvetica" w:eastAsia="Times New Roman" w:hAnsi="Helvetica" w:cs="Times New Roman"/>
          <w:b/>
          <w:bCs/>
          <w:sz w:val="20"/>
          <w:szCs w:val="20"/>
          <w:bdr w:val="none" w:sz="0" w:space="0" w:color="auto" w:frame="1"/>
          <w:lang w:eastAsia="en-GB"/>
        </w:rPr>
        <w:t> </w:t>
      </w:r>
      <w:r w:rsidRPr="00E752AE">
        <w:rPr>
          <w:rFonts w:ascii="Helvetica" w:eastAsia="Times New Roman" w:hAnsi="Helvetica" w:cs="Times New Roman"/>
          <w:sz w:val="20"/>
          <w:szCs w:val="20"/>
          <w:lang w:eastAsia="en-GB"/>
        </w:rPr>
        <w:t>portraiture, landscape photography, still life photography, documentary photography, photojournalism, fashion photography, experimental imagery, multimedia, photographic installation and moving image (video, film, animation).</w:t>
      </w:r>
    </w:p>
    <w:p w:rsidR="003354D3" w:rsidRDefault="003354D3" w:rsidP="0038695D">
      <w:pPr>
        <w:spacing w:after="0" w:line="360" w:lineRule="atLeast"/>
        <w:textAlignment w:val="baseline"/>
        <w:rPr>
          <w:rFonts w:ascii="Helvetica" w:hAnsi="Helvetica" w:cs="Helvetica"/>
          <w:color w:val="7030A0"/>
          <w:sz w:val="32"/>
          <w:szCs w:val="32"/>
          <w:u w:val="single"/>
        </w:rPr>
      </w:pPr>
    </w:p>
    <w:p w:rsidR="000462A4" w:rsidRPr="002505D3" w:rsidRDefault="000462A4" w:rsidP="00166933">
      <w:pPr>
        <w:spacing w:after="0" w:line="360" w:lineRule="atLeast"/>
        <w:textAlignment w:val="baseline"/>
        <w:rPr>
          <w:rFonts w:ascii="Helvetica" w:hAnsi="Helvetica" w:cs="Helvetica"/>
          <w:sz w:val="20"/>
          <w:szCs w:val="20"/>
        </w:rPr>
      </w:pPr>
    </w:p>
    <w:p w:rsidR="000462A4" w:rsidRPr="002505D3" w:rsidRDefault="00F40899" w:rsidP="00166933">
      <w:pPr>
        <w:spacing w:after="0" w:line="360" w:lineRule="atLeast"/>
        <w:textAlignment w:val="baseline"/>
        <w:rPr>
          <w:rFonts w:ascii="Helvetica" w:hAnsi="Helvetica" w:cs="Helvetica"/>
          <w:b/>
          <w:sz w:val="20"/>
          <w:szCs w:val="20"/>
        </w:rPr>
      </w:pPr>
      <w:r>
        <w:rPr>
          <w:rFonts w:ascii="Helvetica" w:hAnsi="Helvetica" w:cs="Helvetica"/>
          <w:b/>
          <w:sz w:val="20"/>
          <w:szCs w:val="20"/>
        </w:rPr>
        <w:t>When including written annotation</w:t>
      </w:r>
      <w:r w:rsidR="00166933" w:rsidRPr="002505D3">
        <w:rPr>
          <w:rFonts w:ascii="Helvetica" w:hAnsi="Helvetica" w:cs="Helvetica"/>
          <w:b/>
          <w:sz w:val="20"/>
          <w:szCs w:val="20"/>
        </w:rPr>
        <w:t xml:space="preserve"> within components of work it is worth considering the following points: </w:t>
      </w:r>
    </w:p>
    <w:p w:rsidR="000462A4" w:rsidRPr="002505D3" w:rsidRDefault="000462A4" w:rsidP="00166933">
      <w:pPr>
        <w:spacing w:after="0" w:line="360" w:lineRule="atLeast"/>
        <w:textAlignment w:val="baseline"/>
        <w:rPr>
          <w:rFonts w:ascii="Helvetica" w:hAnsi="Helvetica" w:cs="Helvetica"/>
          <w:b/>
          <w:sz w:val="20"/>
          <w:szCs w:val="20"/>
        </w:rPr>
      </w:pPr>
    </w:p>
    <w:p w:rsidR="000462A4" w:rsidRPr="002505D3" w:rsidRDefault="00166933" w:rsidP="00166933">
      <w:pPr>
        <w:spacing w:after="0" w:line="360" w:lineRule="atLeast"/>
        <w:textAlignment w:val="baseline"/>
        <w:rPr>
          <w:rFonts w:ascii="Helvetica" w:hAnsi="Helvetica" w:cs="Helvetica"/>
          <w:b/>
          <w:sz w:val="20"/>
          <w:szCs w:val="20"/>
        </w:rPr>
      </w:pPr>
      <w:r w:rsidRPr="002505D3">
        <w:rPr>
          <w:rFonts w:ascii="Helvetica" w:hAnsi="Helvetica" w:cs="Helvetica"/>
          <w:b/>
          <w:sz w:val="20"/>
          <w:szCs w:val="20"/>
        </w:rPr>
        <w:t xml:space="preserve">• Does the writing add to our understanding of the work? </w:t>
      </w:r>
    </w:p>
    <w:p w:rsidR="000462A4" w:rsidRPr="002505D3" w:rsidRDefault="00166933" w:rsidP="00166933">
      <w:pPr>
        <w:spacing w:after="0" w:line="360" w:lineRule="atLeast"/>
        <w:textAlignment w:val="baseline"/>
        <w:rPr>
          <w:rFonts w:ascii="Helvetica" w:hAnsi="Helvetica" w:cs="Helvetica"/>
          <w:b/>
          <w:sz w:val="20"/>
          <w:szCs w:val="20"/>
        </w:rPr>
      </w:pPr>
      <w:r w:rsidRPr="002505D3">
        <w:rPr>
          <w:rFonts w:ascii="Helvetica" w:hAnsi="Helvetica" w:cs="Helvetica"/>
          <w:b/>
          <w:sz w:val="20"/>
          <w:szCs w:val="20"/>
        </w:rPr>
        <w:t xml:space="preserve">• Is it simply descriptive or is there evidence of analysis and discernment? </w:t>
      </w:r>
    </w:p>
    <w:p w:rsidR="000462A4" w:rsidRPr="002505D3" w:rsidRDefault="00166933" w:rsidP="00166933">
      <w:pPr>
        <w:spacing w:after="0" w:line="360" w:lineRule="atLeast"/>
        <w:textAlignment w:val="baseline"/>
        <w:rPr>
          <w:rFonts w:ascii="Helvetica" w:hAnsi="Helvetica" w:cs="Helvetica"/>
          <w:b/>
          <w:sz w:val="20"/>
          <w:szCs w:val="20"/>
        </w:rPr>
      </w:pPr>
      <w:r w:rsidRPr="002505D3">
        <w:rPr>
          <w:rFonts w:ascii="Helvetica" w:hAnsi="Helvetica" w:cs="Helvetica"/>
          <w:b/>
          <w:sz w:val="20"/>
          <w:szCs w:val="20"/>
        </w:rPr>
        <w:t xml:space="preserve">• Does it provide insight into students’ intentions? </w:t>
      </w:r>
    </w:p>
    <w:p w:rsidR="000462A4" w:rsidRPr="002505D3" w:rsidRDefault="00166933" w:rsidP="00166933">
      <w:pPr>
        <w:spacing w:after="0" w:line="360" w:lineRule="atLeast"/>
        <w:textAlignment w:val="baseline"/>
        <w:rPr>
          <w:rFonts w:ascii="Helvetica" w:hAnsi="Helvetica" w:cs="Helvetica"/>
          <w:b/>
          <w:sz w:val="20"/>
          <w:szCs w:val="20"/>
        </w:rPr>
      </w:pPr>
      <w:r w:rsidRPr="002505D3">
        <w:rPr>
          <w:rFonts w:ascii="Helvetica" w:hAnsi="Helvetica" w:cs="Helvetica"/>
          <w:b/>
          <w:sz w:val="20"/>
          <w:szCs w:val="20"/>
        </w:rPr>
        <w:t xml:space="preserve">• Does it provide insights into developments within the work and the reasons for making various choices? </w:t>
      </w:r>
    </w:p>
    <w:p w:rsidR="00166933" w:rsidRPr="002505D3" w:rsidRDefault="00166933" w:rsidP="00166933">
      <w:pPr>
        <w:spacing w:after="0" w:line="360" w:lineRule="atLeast"/>
        <w:textAlignment w:val="baseline"/>
        <w:rPr>
          <w:rFonts w:ascii="Helvetica" w:eastAsia="Times New Roman" w:hAnsi="Helvetica" w:cs="Helvetica"/>
          <w:b/>
          <w:color w:val="4C4C4B"/>
          <w:sz w:val="20"/>
          <w:szCs w:val="20"/>
          <w:lang w:eastAsia="en-GB"/>
        </w:rPr>
      </w:pPr>
      <w:r w:rsidRPr="002505D3">
        <w:rPr>
          <w:rFonts w:ascii="Helvetica" w:hAnsi="Helvetica" w:cs="Helvetica"/>
          <w:b/>
          <w:sz w:val="20"/>
          <w:szCs w:val="20"/>
        </w:rPr>
        <w:t xml:space="preserve">• Does it help to clarify the links with the work of others and various contexts? </w:t>
      </w:r>
    </w:p>
    <w:p w:rsidR="00460655" w:rsidRDefault="00460655" w:rsidP="00460655">
      <w:pPr>
        <w:shd w:val="clear" w:color="auto" w:fill="FFFFFF"/>
        <w:spacing w:after="240" w:line="360" w:lineRule="atLeast"/>
        <w:textAlignment w:val="baseline"/>
        <w:rPr>
          <w:rFonts w:ascii="Helvetica" w:eastAsia="Times New Roman" w:hAnsi="Helvetica" w:cs="Times New Roman"/>
          <w:color w:val="4C4C4B"/>
          <w:sz w:val="20"/>
          <w:szCs w:val="20"/>
          <w:lang w:eastAsia="en-GB"/>
        </w:rPr>
      </w:pPr>
    </w:p>
    <w:p w:rsidR="00460655" w:rsidRPr="00262E5F" w:rsidRDefault="00460655" w:rsidP="00460655">
      <w:pPr>
        <w:rPr>
          <w:rFonts w:ascii="Century Gothic" w:hAnsi="Century Gothic"/>
        </w:rPr>
      </w:pPr>
    </w:p>
    <w:p w:rsidR="00166933" w:rsidRDefault="00166933"/>
    <w:sectPr w:rsidR="00166933" w:rsidSect="00166933">
      <w:footerReference w:type="default" r:id="rId8"/>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D3" w:rsidRDefault="003354D3">
      <w:pPr>
        <w:spacing w:after="0" w:line="240" w:lineRule="auto"/>
      </w:pPr>
      <w:r>
        <w:separator/>
      </w:r>
    </w:p>
  </w:endnote>
  <w:endnote w:type="continuationSeparator" w:id="0">
    <w:p w:rsidR="003354D3" w:rsidRDefault="003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D3" w:rsidRDefault="003354D3">
    <w:pPr>
      <w:pStyle w:val="Footer"/>
    </w:pPr>
  </w:p>
  <w:p w:rsidR="003354D3" w:rsidRDefault="003354D3">
    <w:pPr>
      <w:pStyle w:val="Footer"/>
    </w:pPr>
  </w:p>
  <w:p w:rsidR="003354D3" w:rsidRDefault="0033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D3" w:rsidRDefault="003354D3">
      <w:pPr>
        <w:spacing w:after="0" w:line="240" w:lineRule="auto"/>
      </w:pPr>
      <w:r>
        <w:separator/>
      </w:r>
    </w:p>
  </w:footnote>
  <w:footnote w:type="continuationSeparator" w:id="0">
    <w:p w:rsidR="003354D3" w:rsidRDefault="003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E4B"/>
    <w:multiLevelType w:val="hybridMultilevel"/>
    <w:tmpl w:val="A4F0F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73458"/>
    <w:multiLevelType w:val="hybridMultilevel"/>
    <w:tmpl w:val="9E24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53F"/>
    <w:multiLevelType w:val="multilevel"/>
    <w:tmpl w:val="76EA49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F23DE"/>
    <w:multiLevelType w:val="hybridMultilevel"/>
    <w:tmpl w:val="574C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60F22"/>
    <w:multiLevelType w:val="multilevel"/>
    <w:tmpl w:val="58C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92827"/>
    <w:multiLevelType w:val="hybridMultilevel"/>
    <w:tmpl w:val="12F6C476"/>
    <w:lvl w:ilvl="0" w:tplc="BBCADFB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61AF4"/>
    <w:multiLevelType w:val="hybridMultilevel"/>
    <w:tmpl w:val="4EBE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B5A4C"/>
    <w:multiLevelType w:val="hybridMultilevel"/>
    <w:tmpl w:val="4776F77E"/>
    <w:lvl w:ilvl="0" w:tplc="BBCADFB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D3192"/>
    <w:multiLevelType w:val="hybridMultilevel"/>
    <w:tmpl w:val="C2EA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22AD8"/>
    <w:multiLevelType w:val="hybridMultilevel"/>
    <w:tmpl w:val="B1A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3"/>
  </w:num>
  <w:num w:numId="6">
    <w:abstractNumId w:val="8"/>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5"/>
    <w:rsid w:val="000462A4"/>
    <w:rsid w:val="000C7953"/>
    <w:rsid w:val="00126B02"/>
    <w:rsid w:val="00166933"/>
    <w:rsid w:val="002505D3"/>
    <w:rsid w:val="002A7747"/>
    <w:rsid w:val="002C6439"/>
    <w:rsid w:val="003354D3"/>
    <w:rsid w:val="0038695D"/>
    <w:rsid w:val="00460655"/>
    <w:rsid w:val="005F2E68"/>
    <w:rsid w:val="00655F93"/>
    <w:rsid w:val="00872730"/>
    <w:rsid w:val="009433F7"/>
    <w:rsid w:val="00B21F5A"/>
    <w:rsid w:val="00E752AE"/>
    <w:rsid w:val="00F40899"/>
    <w:rsid w:val="00FB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1EA0"/>
  <w15:chartTrackingRefBased/>
  <w15:docId w15:val="{880634D1-950D-40BD-8877-4464F418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55"/>
    <w:pPr>
      <w:ind w:left="720"/>
      <w:contextualSpacing/>
    </w:pPr>
  </w:style>
  <w:style w:type="paragraph" w:styleId="Footer">
    <w:name w:val="footer"/>
    <w:basedOn w:val="Normal"/>
    <w:link w:val="FooterChar"/>
    <w:uiPriority w:val="99"/>
    <w:unhideWhenUsed/>
    <w:rsid w:val="00460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655"/>
  </w:style>
  <w:style w:type="paragraph" w:styleId="NormalWeb">
    <w:name w:val="Normal (Web)"/>
    <w:basedOn w:val="Normal"/>
    <w:uiPriority w:val="99"/>
    <w:unhideWhenUsed/>
    <w:rsid w:val="004606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3DE5-08B5-4399-B97E-2B7D024F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E81935D0</Template>
  <TotalTime>59</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Hilton [JHN]</dc:creator>
  <cp:keywords/>
  <dc:description/>
  <cp:lastModifiedBy>Mrs J Hilton [JHN]</cp:lastModifiedBy>
  <cp:revision>12</cp:revision>
  <dcterms:created xsi:type="dcterms:W3CDTF">2019-10-16T13:28:00Z</dcterms:created>
  <dcterms:modified xsi:type="dcterms:W3CDTF">2019-10-21T10:56:00Z</dcterms:modified>
</cp:coreProperties>
</file>